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w:t>
      </w:r>
      <w:r>
        <w:rPr>
          <w:rFonts w:ascii="黑体" w:eastAsia="黑体"/>
          <w:sz w:val="72"/>
          <w:szCs w:val="72"/>
        </w:rPr>
        <w:t>京北职业技术学院</w:t>
      </w:r>
      <w:r>
        <w:rPr>
          <w:rFonts w:hint="eastAsia" w:ascii="黑体" w:eastAsia="黑体"/>
          <w:sz w:val="72"/>
          <w:szCs w:val="72"/>
        </w:rPr>
        <w:t>（本级）</w:t>
      </w:r>
    </w:p>
    <w:p>
      <w:pPr>
        <w:jc w:val="center"/>
        <w:rPr>
          <w:rFonts w:ascii="黑体" w:eastAsia="黑体"/>
          <w:sz w:val="72"/>
          <w:szCs w:val="72"/>
        </w:rPr>
      </w:pPr>
      <w:r>
        <w:rPr>
          <w:rFonts w:hint="eastAsia" w:ascii="黑体" w:eastAsia="黑体"/>
          <w:sz w:val="72"/>
          <w:szCs w:val="72"/>
        </w:rPr>
        <w:t>2024年度单位决算</w:t>
      </w:r>
      <w:r>
        <w:rPr>
          <w:rFonts w:hint="eastAsia" w:ascii="黑体" w:eastAsia="黑体"/>
          <w:sz w:val="72"/>
          <w:szCs w:val="72"/>
          <w:lang w:eastAsia="zh-CN"/>
        </w:rPr>
        <w:t>（公开）</w:t>
      </w:r>
    </w:p>
    <w:p>
      <w:pPr>
        <w:jc w:val="center"/>
        <w:rPr>
          <w:rFonts w:ascii="黑体" w:eastAsia="黑体"/>
          <w:sz w:val="52"/>
          <w:szCs w:val="52"/>
        </w:rPr>
      </w:pPr>
    </w:p>
    <w:p>
      <w:pP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p>
    <w:p>
      <w:pPr>
        <w:spacing w:line="500" w:lineRule="exact"/>
        <w:ind w:firstLine="645"/>
        <w:jc w:val="center"/>
        <w:rPr>
          <w:rFonts w:ascii="宋体" w:hAnsi="宋体" w:cs="宋体"/>
          <w:b/>
          <w:bCs/>
          <w:kern w:val="0"/>
          <w:sz w:val="44"/>
          <w:szCs w:val="36"/>
        </w:rPr>
      </w:pPr>
    </w:p>
    <w:p>
      <w:pPr>
        <w:spacing w:line="500" w:lineRule="exact"/>
        <w:ind w:firstLine="645"/>
        <w:jc w:val="center"/>
        <w:rPr>
          <w:rFonts w:ascii="宋体" w:hAnsi="宋体" w:cs="宋体"/>
          <w:b/>
          <w:bCs/>
          <w:kern w:val="0"/>
          <w:sz w:val="44"/>
          <w:szCs w:val="36"/>
        </w:rPr>
      </w:pPr>
    </w:p>
    <w:p>
      <w:pPr>
        <w:pageBreakBefore/>
        <w:spacing w:line="500" w:lineRule="exact"/>
        <w:ind w:firstLine="646"/>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spacing w:val="40"/>
          <w:sz w:val="32"/>
          <w:szCs w:val="32"/>
          <w:lang w:eastAsia="zh-CN"/>
        </w:rPr>
        <w:t>单位</w:t>
      </w:r>
      <w:r>
        <w:rPr>
          <w:rFonts w:hint="eastAsia" w:ascii="宋体" w:hAnsi="宋体"/>
          <w:spacing w:val="40"/>
          <w:sz w:val="32"/>
          <w:szCs w:val="32"/>
        </w:rPr>
        <w:t>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w:t>
      </w:r>
      <w:r>
        <w:rPr>
          <w:rFonts w:hint="eastAsia" w:ascii="宋体" w:hAnsi="宋体" w:cs="宋体"/>
          <w:spacing w:val="40"/>
          <w:kern w:val="0"/>
          <w:sz w:val="32"/>
          <w:szCs w:val="32"/>
          <w:lang w:eastAsia="zh-CN"/>
        </w:rPr>
        <w:t>单位</w:t>
      </w:r>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32"/>
          <w:szCs w:val="32"/>
        </w:rPr>
        <w:t xml:space="preserve">第一部分 </w:t>
      </w:r>
      <w:r>
        <w:rPr>
          <w:rFonts w:hint="eastAsia" w:ascii="宋体" w:hAnsi="宋体" w:cs="宋体"/>
          <w:b/>
          <w:bCs/>
          <w:spacing w:val="40"/>
          <w:kern w:val="0"/>
          <w:sz w:val="32"/>
          <w:szCs w:val="32"/>
          <w:lang w:eastAsia="zh-CN"/>
        </w:rPr>
        <w:t>2024</w:t>
      </w:r>
      <w:r>
        <w:rPr>
          <w:rFonts w:hint="eastAsia" w:ascii="宋体" w:hAnsi="宋体" w:cs="宋体"/>
          <w:b/>
          <w:bCs/>
          <w:spacing w:val="40"/>
          <w:kern w:val="0"/>
          <w:sz w:val="32"/>
          <w:szCs w:val="32"/>
        </w:rPr>
        <w:t>年度</w:t>
      </w:r>
      <w:r>
        <w:rPr>
          <w:rFonts w:hint="eastAsia" w:ascii="宋体" w:hAnsi="宋体" w:cs="宋体"/>
          <w:b/>
          <w:bCs/>
          <w:spacing w:val="40"/>
          <w:kern w:val="0"/>
          <w:sz w:val="32"/>
          <w:szCs w:val="32"/>
          <w:lang w:eastAsia="zh-CN"/>
        </w:rPr>
        <w:t>单位</w:t>
      </w:r>
      <w:r>
        <w:rPr>
          <w:rFonts w:hint="eastAsia" w:ascii="宋体" w:hAnsi="宋体" w:cs="宋体"/>
          <w:b/>
          <w:bCs/>
          <w:spacing w:val="40"/>
          <w:kern w:val="0"/>
          <w:sz w:val="32"/>
          <w:szCs w:val="32"/>
        </w:rPr>
        <w:t>决算报表</w:t>
      </w:r>
    </w:p>
    <w:p>
      <w:pPr>
        <w:pStyle w:val="4"/>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详见附</w:t>
      </w:r>
      <w:r>
        <w:rPr>
          <w:rFonts w:hint="eastAsia" w:ascii="仿宋_GB2312" w:eastAsia="仿宋_GB2312"/>
          <w:b w:val="0"/>
          <w:bCs w:val="0"/>
          <w:sz w:val="28"/>
          <w:szCs w:val="28"/>
          <w:lang w:eastAsia="zh-CN"/>
        </w:rPr>
        <w:t>表</w:t>
      </w:r>
      <w:r>
        <w:rPr>
          <w:rFonts w:hint="eastAsia" w:ascii="仿宋_GB2312" w:eastAsia="仿宋_GB2312"/>
          <w:b w:val="0"/>
          <w:bCs w:val="0"/>
          <w:sz w:val="28"/>
          <w:szCs w:val="28"/>
        </w:rPr>
        <w:t>。</w:t>
      </w:r>
    </w:p>
    <w:p>
      <w:pPr>
        <w:pageBreakBefore/>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2024年度单位决算说明</w:t>
      </w:r>
    </w:p>
    <w:p>
      <w:pPr>
        <w:tabs>
          <w:tab w:val="center" w:pos="6979"/>
        </w:tabs>
        <w:spacing w:line="580" w:lineRule="exact"/>
        <w:ind w:firstLine="548" w:firstLineChars="196"/>
        <w:rPr>
          <w:rFonts w:ascii="黑体" w:eastAsia="黑体"/>
          <w:b w:val="0"/>
          <w:bCs/>
          <w:sz w:val="28"/>
          <w:szCs w:val="28"/>
        </w:rPr>
      </w:pPr>
      <w:r>
        <w:rPr>
          <w:rFonts w:hint="eastAsia" w:ascii="黑体" w:eastAsia="黑体"/>
          <w:b w:val="0"/>
          <w:bCs/>
          <w:sz w:val="28"/>
          <w:szCs w:val="28"/>
        </w:rPr>
        <w:t>一、单位基本情况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hAnsi="仿宋" w:eastAsia="仿宋_GB2312"/>
          <w:sz w:val="28"/>
          <w:szCs w:val="28"/>
        </w:rPr>
      </w:pPr>
      <w:r>
        <w:rPr>
          <w:rFonts w:hint="eastAsia" w:ascii="仿宋_GB2312" w:hAnsi="仿宋" w:eastAsia="仿宋_GB2312"/>
          <w:sz w:val="28"/>
          <w:szCs w:val="28"/>
        </w:rPr>
        <w:t>北京京北职业技术学院本级是经北京市人民政府批准，教育部备案，独立设置的公办全日制高等职业院校，学院为全额拨款事业单位，占地186亩，建筑面积6.23万平方米。主要从事高等职业教育工作，开办建筑、会计、电子竞技、学前教育、社区康复、护理等专业，为区域经济发展培养大、中专人才；并且承担非学历教育（短期培训）、公共服务等职能。单位地址位于怀柔区小中富乐一区188号。</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pPr>
      <w:bookmarkStart w:id="0" w:name="OLE_LINK1"/>
      <w:r>
        <w:rPr>
          <w:rFonts w:hint="eastAsia" w:ascii="仿宋_GB2312" w:hAnsi="仿宋" w:eastAsia="仿宋_GB2312"/>
          <w:sz w:val="28"/>
          <w:szCs w:val="28"/>
        </w:rPr>
        <w:t>北京京北职业技术学院目前设置“四系一部五中心”。“四系”为：建筑工程系、影视技术系、教育与管理系、卫生与健康系。“一部”为基础部。“五中心”为：成人教育中心、实训中心、网络信息中心、教学督导中心和后勤服务中心。</w:t>
      </w:r>
      <w:bookmarkEnd w:id="0"/>
    </w:p>
    <w:p>
      <w:pPr>
        <w:tabs>
          <w:tab w:val="center" w:pos="6979"/>
        </w:tabs>
        <w:spacing w:line="580" w:lineRule="exact"/>
        <w:rPr>
          <w:rFonts w:ascii="黑体" w:eastAsia="黑体"/>
          <w:b w:val="0"/>
          <w:bCs/>
          <w:sz w:val="28"/>
          <w:szCs w:val="28"/>
        </w:rPr>
      </w:pP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outlineLvl w:val="9"/>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10223.07</w:t>
      </w:r>
      <w:r>
        <w:rPr>
          <w:rFonts w:hint="eastAsia" w:ascii="仿宋_GB2312" w:eastAsia="仿宋_GB2312"/>
          <w:sz w:val="28"/>
          <w:szCs w:val="28"/>
        </w:rPr>
        <w:t>万元，</w:t>
      </w:r>
      <w:r>
        <w:rPr>
          <w:rFonts w:ascii="仿宋_GB2312" w:eastAsia="仿宋_GB2312"/>
          <w:sz w:val="28"/>
          <w:szCs w:val="28"/>
        </w:rPr>
        <w:t>比上年增加1070.59</w:t>
      </w:r>
      <w:r>
        <w:rPr>
          <w:rFonts w:hint="eastAsia" w:ascii="仿宋_GB2312" w:eastAsia="仿宋_GB2312"/>
          <w:sz w:val="28"/>
          <w:szCs w:val="28"/>
        </w:rPr>
        <w:t>万元，增长</w:t>
      </w:r>
      <w:r>
        <w:rPr>
          <w:rFonts w:ascii="仿宋_GB2312" w:eastAsia="仿宋_GB2312"/>
          <w:sz w:val="28"/>
          <w:szCs w:val="28"/>
        </w:rPr>
        <w:t>11.70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outlineLvl w:val="9"/>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outlineLvl w:val="9"/>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10109.98</w:t>
      </w:r>
      <w:r>
        <w:rPr>
          <w:rFonts w:hint="eastAsia" w:ascii="仿宋_GB2312" w:eastAsia="仿宋_GB2312"/>
          <w:sz w:val="28"/>
          <w:szCs w:val="28"/>
        </w:rPr>
        <w:t>万元，</w:t>
      </w:r>
      <w:r>
        <w:rPr>
          <w:rFonts w:ascii="仿宋_GB2312" w:eastAsia="仿宋_GB2312"/>
          <w:sz w:val="28"/>
          <w:szCs w:val="28"/>
        </w:rPr>
        <w:t>比上年增加1144.32</w:t>
      </w:r>
      <w:r>
        <w:rPr>
          <w:rFonts w:hint="eastAsia" w:ascii="仿宋_GB2312" w:eastAsia="仿宋_GB2312"/>
          <w:sz w:val="28"/>
          <w:szCs w:val="28"/>
        </w:rPr>
        <w:t>万元，增长</w:t>
      </w:r>
      <w:r>
        <w:rPr>
          <w:rFonts w:ascii="仿宋_GB2312" w:eastAsia="仿宋_GB2312"/>
          <w:sz w:val="28"/>
          <w:szCs w:val="28"/>
        </w:rPr>
        <w:t>12.76</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outlineLvl w:val="9"/>
      </w:pPr>
      <w:r>
        <w:rPr>
          <w:rFonts w:hint="eastAsia" w:ascii="仿宋_GB2312" w:eastAsia="仿宋_GB2312"/>
          <w:sz w:val="28"/>
          <w:szCs w:val="28"/>
        </w:rPr>
        <w:t>1.财政拨款收入</w:t>
      </w:r>
      <w:r>
        <w:rPr>
          <w:rFonts w:ascii="仿宋_GB2312" w:eastAsia="仿宋_GB2312"/>
          <w:sz w:val="28"/>
          <w:szCs w:val="28"/>
        </w:rPr>
        <w:t>8399.88</w:t>
      </w:r>
      <w:r>
        <w:rPr>
          <w:rFonts w:hint="eastAsia" w:ascii="仿宋_GB2312" w:eastAsia="仿宋_GB2312"/>
          <w:sz w:val="28"/>
          <w:szCs w:val="28"/>
        </w:rPr>
        <w:t>万元，占收入合计的83.09%。其中：一般公共预算财政拨款收入</w:t>
      </w:r>
      <w:r>
        <w:rPr>
          <w:rFonts w:ascii="仿宋_GB2312" w:eastAsia="仿宋_GB2312"/>
          <w:sz w:val="28"/>
          <w:szCs w:val="28"/>
        </w:rPr>
        <w:t>8399.88</w:t>
      </w:r>
      <w:r>
        <w:rPr>
          <w:rFonts w:hint="eastAsia" w:ascii="仿宋_GB2312" w:eastAsia="仿宋_GB2312"/>
          <w:sz w:val="28"/>
          <w:szCs w:val="28"/>
        </w:rPr>
        <w:t>万元，占收入合计的83.09%；政府性基金预算财政拨款收入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1685.1</w:t>
      </w:r>
      <w:r>
        <w:rPr>
          <w:rFonts w:hint="eastAsia" w:ascii="仿宋_GB2312" w:eastAsia="仿宋_GB2312"/>
          <w:sz w:val="28"/>
          <w:szCs w:val="28"/>
        </w:rPr>
        <w:t>万元，占收入合计的16.67%；</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24.99</w:t>
      </w:r>
      <w:r>
        <w:rPr>
          <w:rFonts w:hint="eastAsia" w:ascii="仿宋_GB2312" w:eastAsia="仿宋_GB2312"/>
          <w:sz w:val="28"/>
          <w:szCs w:val="28"/>
        </w:rPr>
        <w:t>万元，占收入合计的0.25%。</w:t>
      </w:r>
    </w:p>
    <w:p>
      <w:pPr>
        <w:pStyle w:val="4"/>
        <w:jc w:val="center"/>
      </w:pPr>
      <w:r>
        <w:rPr>
          <w:rFonts w:hint="eastAsia" w:ascii="仿宋_GB2312" w:eastAsia="仿宋_GB2312"/>
          <w:color w:val="000000"/>
          <w:sz w:val="32"/>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3"/>
        <w:textAlignment w:val="auto"/>
        <w:outlineLvl w:val="9"/>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3"/>
        <w:textAlignment w:val="auto"/>
        <w:outlineLvl w:val="9"/>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10028.82</w:t>
      </w:r>
      <w:r>
        <w:rPr>
          <w:rFonts w:hint="eastAsia" w:ascii="仿宋_GB2312" w:eastAsia="仿宋_GB2312"/>
          <w:sz w:val="28"/>
          <w:szCs w:val="28"/>
        </w:rPr>
        <w:t>万元，</w:t>
      </w:r>
      <w:r>
        <w:rPr>
          <w:rFonts w:ascii="仿宋_GB2312" w:eastAsia="仿宋_GB2312"/>
          <w:sz w:val="28"/>
          <w:szCs w:val="28"/>
        </w:rPr>
        <w:t>比上年增加989.43</w:t>
      </w:r>
      <w:r>
        <w:rPr>
          <w:rFonts w:hint="eastAsia" w:ascii="仿宋_GB2312" w:eastAsia="仿宋_GB2312"/>
          <w:sz w:val="28"/>
          <w:szCs w:val="28"/>
        </w:rPr>
        <w:t>万元，增长</w:t>
      </w:r>
      <w:r>
        <w:rPr>
          <w:rFonts w:ascii="仿宋_GB2312" w:eastAsia="仿宋_GB2312"/>
          <w:sz w:val="28"/>
          <w:szCs w:val="28"/>
        </w:rPr>
        <w:t>10.95</w:t>
      </w:r>
      <w:r>
        <w:rPr>
          <w:rFonts w:hint="eastAsia" w:ascii="仿宋_GB2312" w:eastAsia="仿宋_GB2312"/>
          <w:sz w:val="28"/>
          <w:szCs w:val="28"/>
        </w:rPr>
        <w:t>%，其中：基本支出</w:t>
      </w:r>
      <w:r>
        <w:rPr>
          <w:rFonts w:ascii="仿宋_GB2312" w:eastAsia="仿宋_GB2312"/>
          <w:sz w:val="28"/>
          <w:szCs w:val="28"/>
        </w:rPr>
        <w:t>7599.46</w:t>
      </w:r>
      <w:r>
        <w:rPr>
          <w:rFonts w:hint="eastAsia" w:ascii="仿宋_GB2312" w:eastAsia="仿宋_GB2312"/>
          <w:sz w:val="28"/>
          <w:szCs w:val="28"/>
        </w:rPr>
        <w:t>万元，占支出合计的75.78%；项目支出</w:t>
      </w:r>
      <w:r>
        <w:rPr>
          <w:rFonts w:ascii="仿宋_GB2312" w:eastAsia="仿宋_GB2312"/>
          <w:sz w:val="28"/>
          <w:szCs w:val="28"/>
        </w:rPr>
        <w:t>2429.35</w:t>
      </w:r>
      <w:r>
        <w:rPr>
          <w:rFonts w:hint="eastAsia" w:ascii="仿宋_GB2312" w:eastAsia="仿宋_GB2312"/>
          <w:sz w:val="28"/>
          <w:szCs w:val="28"/>
        </w:rPr>
        <w:t>万元，占支出合计的24.22%;上缴上级支出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4"/>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keepNext w:val="0"/>
        <w:keepLines w:val="0"/>
        <w:pageBreakBefore w:val="0"/>
        <w:widowControl w:val="0"/>
        <w:tabs>
          <w:tab w:val="center" w:pos="6979"/>
        </w:tabs>
        <w:kinsoku/>
        <w:wordWrap/>
        <w:overflowPunct/>
        <w:topLinePunct w:val="0"/>
        <w:bidi w:val="0"/>
        <w:snapToGrid/>
        <w:spacing w:line="560" w:lineRule="exact"/>
        <w:ind w:firstLine="548" w:firstLineChars="196"/>
        <w:textAlignment w:val="auto"/>
        <w:outlineLvl w:val="9"/>
        <w:rPr>
          <w:rFonts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3"/>
        <w:textAlignment w:val="auto"/>
        <w:outlineLvl w:val="9"/>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8466.52</w:t>
      </w:r>
      <w:r>
        <w:rPr>
          <w:rFonts w:hint="eastAsia" w:ascii="仿宋_GB2312" w:eastAsia="仿宋_GB2312"/>
          <w:sz w:val="28"/>
          <w:szCs w:val="28"/>
        </w:rPr>
        <w:t>万元，比上年</w:t>
      </w:r>
      <w:r>
        <w:rPr>
          <w:rFonts w:ascii="仿宋_GB2312" w:eastAsia="仿宋_GB2312"/>
          <w:sz w:val="28"/>
          <w:szCs w:val="28"/>
        </w:rPr>
        <w:t>增加572.77</w:t>
      </w:r>
      <w:r>
        <w:rPr>
          <w:rFonts w:hint="eastAsia" w:ascii="仿宋_GB2312" w:eastAsia="仿宋_GB2312"/>
          <w:sz w:val="28"/>
          <w:szCs w:val="28"/>
        </w:rPr>
        <w:t>万元，增长</w:t>
      </w:r>
      <w:r>
        <w:rPr>
          <w:rFonts w:ascii="仿宋_GB2312" w:eastAsia="仿宋_GB2312"/>
          <w:sz w:val="28"/>
          <w:szCs w:val="28"/>
        </w:rPr>
        <w:t>7.26</w:t>
      </w:r>
      <w:r>
        <w:rPr>
          <w:rFonts w:hint="eastAsia" w:ascii="仿宋_GB2312" w:eastAsia="仿宋_GB2312"/>
          <w:sz w:val="28"/>
          <w:szCs w:val="28"/>
        </w:rPr>
        <w:t>%。主要原因：在职</w:t>
      </w:r>
      <w:r>
        <w:rPr>
          <w:rFonts w:ascii="仿宋_GB2312" w:eastAsia="仿宋_GB2312"/>
          <w:sz w:val="28"/>
          <w:szCs w:val="28"/>
        </w:rPr>
        <w:t>人</w:t>
      </w:r>
      <w:r>
        <w:rPr>
          <w:rFonts w:hint="eastAsia" w:ascii="仿宋_GB2312" w:eastAsia="仿宋_GB2312"/>
          <w:sz w:val="28"/>
          <w:szCs w:val="28"/>
        </w:rPr>
        <w:t>数</w:t>
      </w:r>
      <w:r>
        <w:rPr>
          <w:rFonts w:ascii="仿宋_GB2312" w:eastAsia="仿宋_GB2312"/>
          <w:sz w:val="28"/>
          <w:szCs w:val="28"/>
        </w:rPr>
        <w:t>增加，</w:t>
      </w:r>
      <w:r>
        <w:rPr>
          <w:rFonts w:hint="eastAsia" w:ascii="仿宋_GB2312" w:eastAsia="仿宋_GB2312"/>
          <w:sz w:val="28"/>
          <w:szCs w:val="28"/>
        </w:rPr>
        <w:t>人员经费</w:t>
      </w:r>
      <w:r>
        <w:rPr>
          <w:rFonts w:ascii="仿宋_GB2312" w:eastAsia="仿宋_GB2312"/>
          <w:sz w:val="28"/>
          <w:szCs w:val="28"/>
        </w:rPr>
        <w:t>增加</w:t>
      </w:r>
      <w:r>
        <w:rPr>
          <w:rFonts w:hint="eastAsia" w:ascii="仿宋_GB2312" w:eastAsia="仿宋_GB2312"/>
          <w:sz w:val="28"/>
          <w:szCs w:val="28"/>
        </w:rPr>
        <w:t>；学生</w:t>
      </w:r>
      <w:r>
        <w:rPr>
          <w:rFonts w:ascii="仿宋_GB2312" w:eastAsia="仿宋_GB2312"/>
          <w:sz w:val="28"/>
          <w:szCs w:val="28"/>
        </w:rPr>
        <w:t>人数增加，公用经费增加</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bidi w:val="0"/>
        <w:snapToGrid/>
        <w:spacing w:line="560" w:lineRule="exact"/>
        <w:ind w:firstLine="548" w:firstLineChars="196"/>
        <w:textAlignment w:val="auto"/>
        <w:outlineLvl w:val="9"/>
        <w:rPr>
          <w:rFonts w:ascii="黑体" w:eastAsia="黑体"/>
          <w:b w:val="0"/>
          <w:bCs/>
          <w:sz w:val="28"/>
          <w:szCs w:val="28"/>
        </w:rPr>
      </w:pPr>
      <w:r>
        <w:rPr>
          <w:rFonts w:hint="eastAsia" w:ascii="黑体" w:eastAsia="黑体"/>
          <w:b w:val="0"/>
          <w:bCs/>
          <w:sz w:val="28"/>
          <w:szCs w:val="28"/>
        </w:rPr>
        <w:t>四、一般公共预算财政拨款支出决算情况说明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outlineLvl w:val="9"/>
        <w:rPr>
          <w:rFonts w:ascii="仿宋_GB2312" w:eastAsia="仿宋_GB2312"/>
          <w:sz w:val="28"/>
          <w:szCs w:val="28"/>
        </w:rPr>
      </w:pPr>
      <w:r>
        <w:rPr>
          <w:rFonts w:hint="eastAsia" w:ascii="仿宋_GB2312" w:eastAsia="仿宋_GB2312"/>
          <w:sz w:val="28"/>
          <w:szCs w:val="28"/>
        </w:rPr>
        <w:t>（一）一般公共预算财政拨款支出决算总体情况</w:t>
      </w:r>
    </w:p>
    <w:p>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8316.53</w:t>
      </w:r>
      <w:r>
        <w:rPr>
          <w:rFonts w:hint="eastAsia" w:ascii="仿宋_GB2312" w:eastAsia="仿宋_GB2312"/>
          <w:sz w:val="28"/>
          <w:szCs w:val="28"/>
        </w:rPr>
        <w:t>万元，主要用于以下方面（按大类）：教育支出</w:t>
      </w:r>
      <w:r>
        <w:rPr>
          <w:rFonts w:ascii="仿宋_GB2312" w:eastAsia="仿宋_GB2312"/>
          <w:sz w:val="28"/>
          <w:szCs w:val="28"/>
        </w:rPr>
        <w:t>7318.01</w:t>
      </w:r>
      <w:r>
        <w:rPr>
          <w:rFonts w:hint="eastAsia" w:ascii="仿宋_GB2312" w:eastAsia="仿宋_GB2312"/>
          <w:sz w:val="28"/>
          <w:szCs w:val="28"/>
        </w:rPr>
        <w:t>万元，占本年财政拨款支出</w:t>
      </w:r>
      <w:r>
        <w:rPr>
          <w:rFonts w:ascii="仿宋_GB2312" w:eastAsia="仿宋_GB2312"/>
          <w:sz w:val="28"/>
          <w:szCs w:val="28"/>
        </w:rPr>
        <w:t>87.99</w:t>
      </w:r>
      <w:r>
        <w:rPr>
          <w:rFonts w:hint="eastAsia" w:ascii="仿宋_GB2312" w:eastAsia="仿宋_GB2312"/>
          <w:sz w:val="28"/>
          <w:szCs w:val="28"/>
        </w:rPr>
        <w:t>%；社会保障和就业支出</w:t>
      </w:r>
      <w:r>
        <w:rPr>
          <w:rFonts w:ascii="仿宋_GB2312" w:eastAsia="仿宋_GB2312"/>
          <w:sz w:val="28"/>
          <w:szCs w:val="28"/>
        </w:rPr>
        <w:t>998.51</w:t>
      </w:r>
      <w:r>
        <w:rPr>
          <w:rFonts w:hint="eastAsia" w:ascii="仿宋_GB2312" w:eastAsia="仿宋_GB2312"/>
          <w:sz w:val="28"/>
          <w:szCs w:val="28"/>
        </w:rPr>
        <w:t>万元，占本年财政拨款支出</w:t>
      </w:r>
      <w:r>
        <w:rPr>
          <w:rFonts w:ascii="仿宋_GB2312" w:eastAsia="仿宋_GB2312"/>
          <w:sz w:val="28"/>
          <w:szCs w:val="28"/>
        </w:rPr>
        <w:t>12.01</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outlineLvl w:val="9"/>
        <w:rPr>
          <w:rFonts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outlineLvl w:val="9"/>
        <w:rPr>
          <w:rFonts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“教育支出”（类）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6283.70</w:t>
      </w:r>
      <w:r>
        <w:rPr>
          <w:rFonts w:hint="eastAsia" w:ascii="仿宋_GB2312" w:eastAsia="仿宋_GB2312"/>
          <w:sz w:val="28"/>
          <w:szCs w:val="28"/>
        </w:rPr>
        <w:t>万元，</w:t>
      </w:r>
      <w:r>
        <w:rPr>
          <w:rFonts w:hint="eastAsia" w:ascii="仿宋_GB2312" w:eastAsia="仿宋_GB2312"/>
          <w:sz w:val="28"/>
          <w:szCs w:val="28"/>
          <w:highlight w:val="none"/>
        </w:rPr>
        <w:t>2024年度决算</w:t>
      </w:r>
      <w:r>
        <w:rPr>
          <w:rFonts w:ascii="仿宋_GB2312" w:eastAsia="仿宋_GB2312"/>
          <w:sz w:val="28"/>
          <w:szCs w:val="28"/>
          <w:highlight w:val="none"/>
        </w:rPr>
        <w:t>7318.01</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116.46</w:t>
      </w:r>
      <w:r>
        <w:rPr>
          <w:rFonts w:hint="eastAsia" w:ascii="仿宋_GB2312" w:eastAsia="仿宋_GB2312"/>
          <w:sz w:val="28"/>
          <w:szCs w:val="28"/>
        </w:rPr>
        <w:t>%。</w:t>
      </w:r>
      <w:r>
        <w:rPr>
          <w:rFonts w:hint="eastAsia" w:ascii="仿宋_GB2312" w:eastAsia="仿宋_GB2312"/>
          <w:sz w:val="28"/>
          <w:szCs w:val="28"/>
          <w:highlight w:val="none"/>
        </w:rPr>
        <w:t>其中：</w:t>
      </w:r>
    </w:p>
    <w:p>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ascii="仿宋_GB2312" w:eastAsia="仿宋_GB2312"/>
          <w:sz w:val="28"/>
          <w:szCs w:val="28"/>
          <w:highlight w:val="none"/>
        </w:rPr>
      </w:pPr>
      <w:r>
        <w:rPr>
          <w:rFonts w:hint="eastAsia" w:ascii="仿宋_GB2312" w:eastAsia="仿宋_GB2312"/>
          <w:sz w:val="28"/>
          <w:szCs w:val="28"/>
          <w:highlight w:val="none"/>
        </w:rPr>
        <w:t>“职业教育”（款，下同）</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6283.70</w:t>
      </w:r>
      <w:r>
        <w:rPr>
          <w:rFonts w:hint="eastAsia" w:ascii="仿宋_GB2312" w:eastAsia="仿宋_GB2312"/>
          <w:sz w:val="28"/>
          <w:szCs w:val="28"/>
        </w:rPr>
        <w:t>万元，</w:t>
      </w:r>
      <w:r>
        <w:rPr>
          <w:rFonts w:hint="eastAsia" w:ascii="仿宋_GB2312" w:eastAsia="仿宋_GB2312"/>
          <w:sz w:val="28"/>
          <w:szCs w:val="28"/>
          <w:highlight w:val="none"/>
        </w:rPr>
        <w:t>2024年度决算</w:t>
      </w:r>
      <w:r>
        <w:rPr>
          <w:rFonts w:ascii="仿宋_GB2312" w:eastAsia="仿宋_GB2312"/>
          <w:sz w:val="28"/>
          <w:szCs w:val="28"/>
          <w:highlight w:val="none"/>
        </w:rPr>
        <w:t>7318.01</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116.46</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追加大中专生资助资金和计算机房改造项目等</w:t>
      </w:r>
      <w:r>
        <w:rPr>
          <w:rFonts w:hint="eastAsia" w:ascii="仿宋_GB2312" w:eastAsia="仿宋_GB2312"/>
          <w:sz w:val="28"/>
          <w:szCs w:val="28"/>
          <w:highlight w:val="none"/>
        </w:rPr>
        <w:t>。</w:t>
      </w:r>
    </w:p>
    <w:p>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ascii="仿宋_GB2312" w:eastAsia="仿宋_GB2312"/>
          <w:sz w:val="28"/>
          <w:szCs w:val="28"/>
          <w:highlight w:val="none"/>
        </w:rPr>
      </w:pPr>
      <w:r>
        <w:rPr>
          <w:rFonts w:hint="eastAsia" w:ascii="仿宋_GB2312" w:eastAsia="仿宋_GB2312"/>
          <w:sz w:val="28"/>
          <w:szCs w:val="28"/>
          <w:highlight w:val="none"/>
        </w:rPr>
        <w:t>2</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“社会保障和就业支出”(类)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970.62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rPr>
        <w:t>2024年度决算</w:t>
      </w:r>
      <w:r>
        <w:rPr>
          <w:rFonts w:ascii="仿宋_GB2312" w:eastAsia="仿宋_GB2312"/>
          <w:sz w:val="28"/>
          <w:szCs w:val="28"/>
          <w:highlight w:val="none"/>
        </w:rPr>
        <w:t>998.51</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102.87</w:t>
      </w:r>
      <w:r>
        <w:rPr>
          <w:rFonts w:hint="eastAsia" w:ascii="仿宋_GB2312" w:eastAsia="仿宋_GB2312"/>
          <w:sz w:val="28"/>
          <w:szCs w:val="28"/>
        </w:rPr>
        <w:t>%。</w:t>
      </w:r>
      <w:r>
        <w:rPr>
          <w:rFonts w:hint="eastAsia" w:ascii="仿宋_GB2312" w:eastAsia="仿宋_GB2312"/>
          <w:sz w:val="28"/>
          <w:szCs w:val="28"/>
          <w:highlight w:val="none"/>
        </w:rPr>
        <w:t>其中：</w:t>
      </w:r>
    </w:p>
    <w:p>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ascii="仿宋_GB2312" w:eastAsia="仿宋_GB2312"/>
          <w:sz w:val="28"/>
          <w:szCs w:val="28"/>
          <w:highlight w:val="none"/>
        </w:rPr>
      </w:pPr>
      <w:r>
        <w:rPr>
          <w:rFonts w:hint="eastAsia" w:ascii="仿宋_GB2312" w:eastAsia="仿宋_GB2312"/>
          <w:sz w:val="28"/>
          <w:szCs w:val="28"/>
          <w:highlight w:val="none"/>
        </w:rPr>
        <w:t>“行政事业单位养老支出”（款）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970.62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rPr>
        <w:t>2024年度决算</w:t>
      </w:r>
      <w:r>
        <w:rPr>
          <w:rFonts w:ascii="仿宋_GB2312" w:eastAsia="仿宋_GB2312"/>
          <w:sz w:val="28"/>
          <w:szCs w:val="28"/>
          <w:highlight w:val="none"/>
        </w:rPr>
        <w:t>998.51</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102.87</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退休人员增加</w:t>
      </w:r>
      <w:r>
        <w:rPr>
          <w:rFonts w:hint="eastAsia" w:ascii="仿宋_GB2312" w:eastAsia="仿宋_GB2312"/>
          <w:sz w:val="28"/>
          <w:szCs w:val="28"/>
          <w:highlight w:val="none"/>
        </w:rPr>
        <w:t>。</w:t>
      </w:r>
    </w:p>
    <w:p>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ascii="仿宋_GB2312" w:eastAsia="仿宋_GB2312"/>
          <w:b w:val="0"/>
          <w:bCs/>
          <w:sz w:val="28"/>
          <w:szCs w:val="28"/>
        </w:rPr>
      </w:pPr>
      <w:r>
        <w:rPr>
          <w:rFonts w:hint="eastAsia" w:ascii="黑体" w:eastAsia="黑体"/>
          <w:b w:val="0"/>
          <w:bCs/>
          <w:sz w:val="28"/>
          <w:szCs w:val="28"/>
        </w:rPr>
        <w:t>五、政府性基金预算财政拨款支出决算情况说明</w:t>
      </w:r>
    </w:p>
    <w:p>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4</w:t>
      </w:r>
      <w:r>
        <w:rPr>
          <w:rFonts w:hint="eastAsia" w:ascii="仿宋_GB2312" w:eastAsia="仿宋_GB2312"/>
          <w:sz w:val="28"/>
          <w:szCs w:val="28"/>
        </w:rPr>
        <w:t>年度政府性基金预算财政拨款支出0万元。</w:t>
      </w:r>
    </w:p>
    <w:p>
      <w:pPr>
        <w:keepNext w:val="0"/>
        <w:keepLines w:val="0"/>
        <w:pageBreakBefore w:val="0"/>
        <w:widowControl w:val="0"/>
        <w:kinsoku/>
        <w:wordWrap/>
        <w:overflowPunct/>
        <w:topLinePunct w:val="0"/>
        <w:bidi w:val="0"/>
        <w:snapToGrid/>
        <w:spacing w:line="560" w:lineRule="exact"/>
        <w:ind w:firstLine="560" w:firstLineChars="200"/>
        <w:textAlignment w:val="auto"/>
        <w:outlineLvl w:val="9"/>
        <w:rPr>
          <w:rFonts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keepNext w:val="0"/>
        <w:keepLines w:val="0"/>
        <w:pageBreakBefore w:val="0"/>
        <w:widowControl w:val="0"/>
        <w:kinsoku/>
        <w:wordWrap/>
        <w:overflowPunct/>
        <w:topLinePunct w:val="0"/>
        <w:bidi w:val="0"/>
        <w:snapToGrid/>
        <w:spacing w:line="560" w:lineRule="exact"/>
        <w:ind w:firstLine="537" w:firstLineChars="192"/>
        <w:textAlignment w:val="auto"/>
        <w:outlineLvl w:val="9"/>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keepNext w:val="0"/>
        <w:keepLines w:val="0"/>
        <w:pageBreakBefore w:val="0"/>
        <w:widowControl w:val="0"/>
        <w:kinsoku/>
        <w:wordWrap/>
        <w:overflowPunct/>
        <w:topLinePunct w:val="0"/>
        <w:bidi w:val="0"/>
        <w:snapToGrid/>
        <w:spacing w:line="560" w:lineRule="exact"/>
        <w:ind w:firstLine="548" w:firstLineChars="196"/>
        <w:textAlignment w:val="auto"/>
        <w:outlineLvl w:val="9"/>
        <w:rPr>
          <w:rFonts w:ascii="黑体" w:eastAsia="黑体"/>
          <w:b w:val="0"/>
          <w:bCs/>
          <w:sz w:val="28"/>
          <w:szCs w:val="28"/>
        </w:rPr>
      </w:pPr>
      <w:r>
        <w:rPr>
          <w:rFonts w:hint="eastAsia" w:ascii="黑体" w:eastAsia="黑体"/>
          <w:b w:val="0"/>
          <w:bCs/>
          <w:sz w:val="28"/>
          <w:szCs w:val="28"/>
        </w:rPr>
        <w:t>七、财政拨款基本支出决算情况说明</w:t>
      </w:r>
    </w:p>
    <w:p>
      <w:pPr>
        <w:keepNext w:val="0"/>
        <w:keepLines w:val="0"/>
        <w:pageBreakBefore w:val="0"/>
        <w:widowControl w:val="0"/>
        <w:tabs>
          <w:tab w:val="center" w:pos="6979"/>
        </w:tabs>
        <w:kinsoku/>
        <w:wordWrap/>
        <w:overflowPunct/>
        <w:topLinePunct w:val="0"/>
        <w:bidi w:val="0"/>
        <w:snapToGrid/>
        <w:spacing w:line="560" w:lineRule="exact"/>
        <w:ind w:firstLine="548" w:firstLineChars="196"/>
        <w:textAlignment w:val="auto"/>
        <w:outlineLvl w:val="9"/>
        <w:rPr>
          <w:rFonts w:ascii="黑体" w:eastAsia="黑体"/>
          <w:b/>
          <w:sz w:val="28"/>
          <w:szCs w:val="28"/>
        </w:rPr>
      </w:pPr>
      <w:r>
        <w:rPr>
          <w:rFonts w:hint="eastAsia" w:ascii="仿宋_GB2312" w:eastAsia="仿宋_GB2312"/>
          <w:sz w:val="28"/>
          <w:szCs w:val="28"/>
        </w:rPr>
        <w:t>2024年度使用一般公共预算财政拨款安排基本支出出</w:t>
      </w:r>
      <w:r>
        <w:rPr>
          <w:rFonts w:ascii="仿宋_GB2312" w:eastAsia="仿宋_GB2312"/>
          <w:sz w:val="28"/>
          <w:szCs w:val="28"/>
        </w:rPr>
        <w:t>7599.46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9"/>
        <w:rPr>
          <w:rFonts w:hint="eastAsia" w:ascii="黑体" w:eastAsia="黑体"/>
          <w:b w:val="0"/>
          <w:bCs/>
          <w:sz w:val="28"/>
          <w:szCs w:val="28"/>
        </w:rPr>
      </w:pPr>
      <w:r>
        <w:rPr>
          <w:rFonts w:hint="eastAsia" w:ascii="黑体" w:eastAsia="黑体"/>
          <w:b w:val="0"/>
          <w:bCs/>
          <w:sz w:val="28"/>
          <w:szCs w:val="28"/>
        </w:rPr>
        <w:t>一、“三公”经费财政拨款决算情况</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outlineLvl w:val="9"/>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10.65</w:t>
      </w:r>
      <w:r>
        <w:rPr>
          <w:rFonts w:hint="eastAsia" w:ascii="仿宋_GB2312" w:eastAsia="仿宋_GB2312"/>
          <w:sz w:val="28"/>
          <w:szCs w:val="28"/>
        </w:rPr>
        <w:t>万元，比2024年度“三公”经费财政拨款年初预算</w:t>
      </w:r>
      <w:r>
        <w:rPr>
          <w:rFonts w:ascii="仿宋_GB2312" w:eastAsia="仿宋_GB2312"/>
          <w:sz w:val="28"/>
          <w:szCs w:val="28"/>
        </w:rPr>
        <w:t>20.93</w:t>
      </w:r>
      <w:r>
        <w:rPr>
          <w:rFonts w:hint="eastAsia" w:ascii="仿宋_GB2312" w:eastAsia="仿宋_GB2312"/>
          <w:sz w:val="28"/>
          <w:szCs w:val="28"/>
        </w:rPr>
        <w:t>万元减少</w:t>
      </w:r>
      <w:r>
        <w:rPr>
          <w:rFonts w:ascii="仿宋_GB2312" w:eastAsia="仿宋_GB2312"/>
          <w:sz w:val="28"/>
          <w:szCs w:val="28"/>
        </w:rPr>
        <w:t>10.28</w:t>
      </w:r>
      <w:r>
        <w:rPr>
          <w:rFonts w:hint="eastAsia" w:ascii="仿宋_GB2312" w:eastAsia="仿宋_GB2312"/>
          <w:sz w:val="28"/>
          <w:szCs w:val="28"/>
        </w:rPr>
        <w:t>万元。其中：</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outlineLvl w:val="9"/>
        <w:rPr>
          <w:rFonts w:ascii="仿宋_GB2312" w:eastAsia="仿宋_GB2312"/>
          <w:sz w:val="28"/>
          <w:szCs w:val="28"/>
        </w:rPr>
      </w:pPr>
      <w:r>
        <w:rPr>
          <w:rFonts w:hint="eastAsia" w:ascii="仿宋_GB2312" w:eastAsia="仿宋_GB2312"/>
          <w:sz w:val="28"/>
          <w:szCs w:val="28"/>
        </w:rPr>
        <w:t>1.因公出国（境）费用。2024年度决算数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outlineLvl w:val="9"/>
        <w:rPr>
          <w:rFonts w:hint="eastAsia"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7.43</w:t>
      </w:r>
      <w:r>
        <w:rPr>
          <w:rFonts w:hint="eastAsia" w:ascii="仿宋_GB2312" w:eastAsia="仿宋_GB2312"/>
          <w:sz w:val="28"/>
          <w:szCs w:val="28"/>
        </w:rPr>
        <w:t>万元减少</w:t>
      </w:r>
      <w:r>
        <w:rPr>
          <w:rFonts w:ascii="仿宋_GB2312" w:eastAsia="仿宋_GB2312"/>
          <w:sz w:val="28"/>
          <w:szCs w:val="28"/>
        </w:rPr>
        <w:t>7.43</w:t>
      </w:r>
      <w:r>
        <w:rPr>
          <w:rFonts w:hint="eastAsia" w:ascii="仿宋_GB2312" w:eastAsia="仿宋_GB2312"/>
          <w:sz w:val="28"/>
          <w:szCs w:val="28"/>
        </w:rPr>
        <w:t>万元。主要原因：本年度无此项支出。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10.65</w:t>
      </w:r>
      <w:r>
        <w:rPr>
          <w:rFonts w:hint="eastAsia" w:ascii="仿宋_GB2312" w:eastAsia="仿宋_GB2312"/>
          <w:sz w:val="28"/>
          <w:szCs w:val="28"/>
        </w:rPr>
        <w:t>万元，比2024年度年初预算数</w:t>
      </w:r>
      <w:r>
        <w:rPr>
          <w:rFonts w:ascii="仿宋_GB2312" w:eastAsia="仿宋_GB2312"/>
          <w:sz w:val="28"/>
          <w:szCs w:val="28"/>
        </w:rPr>
        <w:t>13.5</w:t>
      </w:r>
      <w:r>
        <w:rPr>
          <w:rFonts w:hint="eastAsia" w:ascii="仿宋_GB2312" w:eastAsia="仿宋_GB2312"/>
          <w:sz w:val="28"/>
          <w:szCs w:val="28"/>
        </w:rPr>
        <w:t>万元减少</w:t>
      </w:r>
      <w:r>
        <w:rPr>
          <w:rFonts w:ascii="仿宋_GB2312" w:eastAsia="仿宋_GB2312"/>
          <w:sz w:val="28"/>
          <w:szCs w:val="28"/>
        </w:rPr>
        <w:t>2.85</w:t>
      </w:r>
      <w:r>
        <w:rPr>
          <w:rFonts w:hint="eastAsia" w:ascii="仿宋_GB2312" w:eastAsia="仿宋_GB2312"/>
          <w:sz w:val="28"/>
          <w:szCs w:val="28"/>
        </w:rPr>
        <w:t>万元。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其中，公务用车购置费2024年度决算数0万元。公务用车运行维护费2024年度决算数10.65万元，主要原因：压缩公车费用支出。2024年度公务用车保有量</w:t>
      </w:r>
      <w:r>
        <w:rPr>
          <w:rFonts w:ascii="仿宋_GB2312" w:eastAsia="仿宋_GB2312"/>
          <w:sz w:val="28"/>
          <w:szCs w:val="28"/>
        </w:rPr>
        <w:t>4</w:t>
      </w:r>
      <w:r>
        <w:rPr>
          <w:rFonts w:hint="eastAsia" w:ascii="仿宋_GB2312" w:eastAsia="仿宋_GB2312"/>
          <w:sz w:val="28"/>
          <w:szCs w:val="28"/>
        </w:rPr>
        <w:t>辆。</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9"/>
        <w:rPr>
          <w:rFonts w:hint="eastAsia" w:ascii="黑体" w:eastAsia="黑体"/>
          <w:b w:val="0"/>
          <w:bCs/>
          <w:sz w:val="28"/>
          <w:szCs w:val="28"/>
        </w:rPr>
      </w:pPr>
      <w:r>
        <w:rPr>
          <w:rFonts w:hint="eastAsia" w:ascii="黑体" w:eastAsia="黑体"/>
          <w:b w:val="0"/>
          <w:bCs/>
          <w:sz w:val="28"/>
          <w:szCs w:val="28"/>
        </w:rPr>
        <w:t>二、机关运行经费支出情况</w:t>
      </w:r>
    </w:p>
    <w:p>
      <w:pPr>
        <w:keepNext w:val="0"/>
        <w:keepLines w:val="0"/>
        <w:pageBreakBefore w:val="0"/>
        <w:widowControl w:val="0"/>
        <w:kinsoku/>
        <w:wordWrap/>
        <w:overflowPunct/>
        <w:topLinePunct w:val="0"/>
        <w:autoSpaceDE/>
        <w:autoSpaceDN/>
        <w:bidi w:val="0"/>
        <w:adjustRightInd/>
        <w:snapToGrid/>
        <w:spacing w:line="560" w:lineRule="exact"/>
        <w:ind w:left="540"/>
        <w:textAlignment w:val="auto"/>
        <w:outlineLvl w:val="9"/>
        <w:rPr>
          <w:rFonts w:ascii="仿宋_GB2312" w:eastAsia="仿宋_GB2312"/>
          <w:sz w:val="28"/>
          <w:szCs w:val="28"/>
        </w:rPr>
      </w:pPr>
      <w:r>
        <w:rPr>
          <w:rFonts w:hint="eastAsia" w:ascii="仿宋_GB2312" w:eastAsia="仿宋_GB2312"/>
          <w:sz w:val="28"/>
          <w:szCs w:val="28"/>
        </w:rPr>
        <w:t>本单位不属于机关运行经费统计范围。</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9"/>
        <w:rPr>
          <w:rFonts w:hint="eastAsia" w:ascii="黑体" w:eastAsia="黑体"/>
          <w:b w:val="0"/>
          <w:bCs/>
          <w:sz w:val="28"/>
          <w:szCs w:val="28"/>
        </w:rPr>
      </w:pPr>
      <w:r>
        <w:rPr>
          <w:rFonts w:hint="eastAsia" w:ascii="黑体" w:eastAsia="黑体"/>
          <w:b w:val="0"/>
          <w:bCs/>
          <w:sz w:val="28"/>
          <w:szCs w:val="28"/>
        </w:rPr>
        <w:t>三、政府采购支出情况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28"/>
          <w:szCs w:val="28"/>
          <w:highlight w:val="yellow"/>
        </w:rPr>
      </w:pPr>
      <w:r>
        <w:rPr>
          <w:rFonts w:hint="eastAsia" w:ascii="仿宋_GB2312" w:eastAsia="仿宋_GB2312"/>
          <w:sz w:val="28"/>
          <w:szCs w:val="28"/>
        </w:rPr>
        <w:t>2024年度政府采购支出总额</w:t>
      </w:r>
      <w:r>
        <w:rPr>
          <w:rFonts w:ascii="仿宋_GB2312" w:eastAsia="仿宋_GB2312"/>
          <w:sz w:val="28"/>
          <w:szCs w:val="28"/>
        </w:rPr>
        <w:t>817.99</w:t>
      </w:r>
      <w:r>
        <w:rPr>
          <w:rFonts w:hint="eastAsia" w:ascii="仿宋_GB2312" w:eastAsia="仿宋_GB2312"/>
          <w:sz w:val="28"/>
          <w:szCs w:val="28"/>
        </w:rPr>
        <w:t>万元，其中：政府采购货物支出</w:t>
      </w:r>
      <w:r>
        <w:rPr>
          <w:rFonts w:ascii="仿宋_GB2312" w:eastAsia="仿宋_GB2312"/>
          <w:sz w:val="28"/>
          <w:szCs w:val="28"/>
        </w:rPr>
        <w:t>611.45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206.55</w:t>
      </w:r>
      <w:r>
        <w:rPr>
          <w:rFonts w:hint="eastAsia" w:ascii="仿宋_GB2312" w:eastAsia="仿宋_GB2312"/>
          <w:sz w:val="28"/>
          <w:szCs w:val="28"/>
        </w:rPr>
        <w:t>万元。授予中小企业合同金额</w:t>
      </w:r>
      <w:r>
        <w:rPr>
          <w:rFonts w:ascii="仿宋_GB2312" w:eastAsia="仿宋_GB2312"/>
          <w:sz w:val="28"/>
          <w:szCs w:val="28"/>
        </w:rPr>
        <w:t>775.07</w:t>
      </w:r>
      <w:r>
        <w:rPr>
          <w:rFonts w:hint="eastAsia" w:ascii="仿宋_GB2312" w:eastAsia="仿宋_GB2312"/>
          <w:sz w:val="28"/>
          <w:szCs w:val="28"/>
        </w:rPr>
        <w:t>万元，占政府采购支出总额的94.75%，其中：授予小微企业合同金额773.56万元，占政府采购支出总额的</w:t>
      </w:r>
      <w:r>
        <w:rPr>
          <w:rFonts w:ascii="仿宋_GB2312" w:eastAsia="仿宋_GB2312"/>
          <w:sz w:val="28"/>
          <w:szCs w:val="28"/>
        </w:rPr>
        <w:t>94.57</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9"/>
        <w:rPr>
          <w:rFonts w:hint="eastAsia" w:ascii="黑体" w:eastAsia="黑体"/>
          <w:b w:val="0"/>
          <w:bCs/>
          <w:sz w:val="28"/>
          <w:szCs w:val="28"/>
        </w:rPr>
      </w:pPr>
      <w:r>
        <w:rPr>
          <w:rFonts w:hint="eastAsia" w:ascii="黑体" w:eastAsia="黑体"/>
          <w:b w:val="0"/>
          <w:bCs/>
          <w:sz w:val="28"/>
          <w:szCs w:val="28"/>
        </w:rPr>
        <w:t>四、国有资产占用情况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32"/>
          <w:szCs w:val="32"/>
        </w:rPr>
      </w:pPr>
      <w:r>
        <w:rPr>
          <w:rFonts w:hint="eastAsia" w:ascii="仿宋_GB2312" w:eastAsia="仿宋_GB2312"/>
          <w:sz w:val="28"/>
          <w:szCs w:val="28"/>
        </w:rPr>
        <w:t>截至12月31日，北京京北</w:t>
      </w:r>
      <w:r>
        <w:rPr>
          <w:rFonts w:ascii="仿宋_GB2312" w:eastAsia="仿宋_GB2312"/>
          <w:sz w:val="28"/>
          <w:szCs w:val="28"/>
        </w:rPr>
        <w:t>职业技术学院（</w:t>
      </w:r>
      <w:r>
        <w:rPr>
          <w:rFonts w:hint="eastAsia" w:ascii="仿宋_GB2312" w:eastAsia="仿宋_GB2312"/>
          <w:sz w:val="28"/>
          <w:szCs w:val="28"/>
        </w:rPr>
        <w:t>本级</w:t>
      </w:r>
      <w:r>
        <w:rPr>
          <w:rFonts w:ascii="仿宋_GB2312" w:eastAsia="仿宋_GB2312"/>
          <w:sz w:val="28"/>
          <w:szCs w:val="28"/>
        </w:rPr>
        <w:t>）</w:t>
      </w:r>
      <w:r>
        <w:rPr>
          <w:rFonts w:hint="eastAsia" w:ascii="仿宋_GB2312" w:eastAsia="仿宋_GB2312"/>
          <w:sz w:val="28"/>
          <w:szCs w:val="28"/>
        </w:rPr>
        <w:t>共有车辆</w:t>
      </w:r>
      <w:r>
        <w:rPr>
          <w:rFonts w:ascii="仿宋_GB2312" w:eastAsia="仿宋_GB2312"/>
          <w:sz w:val="28"/>
          <w:szCs w:val="28"/>
        </w:rPr>
        <w:t>6</w:t>
      </w:r>
      <w:r>
        <w:rPr>
          <w:rFonts w:hint="eastAsia" w:ascii="仿宋_GB2312" w:eastAsia="仿宋_GB2312"/>
          <w:sz w:val="28"/>
          <w:szCs w:val="28"/>
        </w:rPr>
        <w:t>台；单位价值100万元（含）以上的设备</w:t>
      </w:r>
      <w:r>
        <w:rPr>
          <w:rFonts w:ascii="仿宋_GB2312" w:eastAsia="仿宋_GB2312"/>
          <w:sz w:val="28"/>
          <w:szCs w:val="28"/>
        </w:rPr>
        <w:t>1</w:t>
      </w:r>
      <w:r>
        <w:rPr>
          <w:rFonts w:hint="eastAsia" w:ascii="仿宋_GB2312" w:eastAsia="仿宋_GB2312"/>
          <w:sz w:val="28"/>
          <w:szCs w:val="28"/>
        </w:rPr>
        <w:t>台（套）。</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9"/>
        <w:rPr>
          <w:rFonts w:hint="eastAsia" w:ascii="黑体" w:eastAsia="黑体"/>
          <w:b w:val="0"/>
          <w:bCs/>
          <w:sz w:val="28"/>
          <w:szCs w:val="28"/>
        </w:rPr>
      </w:pPr>
      <w:r>
        <w:rPr>
          <w:rFonts w:hint="eastAsia" w:ascii="黑体" w:eastAsia="黑体"/>
          <w:b w:val="0"/>
          <w:bCs/>
          <w:sz w:val="28"/>
          <w:szCs w:val="28"/>
        </w:rPr>
        <w:t>五、政府购买服务支出说明</w:t>
      </w:r>
    </w:p>
    <w:p>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outlineLvl w:val="9"/>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9"/>
        <w:rPr>
          <w:rFonts w:hint="eastAsia" w:ascii="黑体" w:eastAsia="黑体"/>
          <w:b w:val="0"/>
          <w:bCs/>
          <w:sz w:val="28"/>
          <w:szCs w:val="28"/>
        </w:rPr>
      </w:pPr>
      <w:r>
        <w:rPr>
          <w:rFonts w:hint="eastAsia" w:ascii="黑体" w:eastAsia="黑体"/>
          <w:b w:val="0"/>
          <w:bCs/>
          <w:sz w:val="28"/>
          <w:szCs w:val="28"/>
        </w:rPr>
        <w:t>六、专业名词解释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outlineLvl w:val="9"/>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outlineLvl w:val="9"/>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outlineLvl w:val="9"/>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outlineLvl w:val="9"/>
        <w:rPr>
          <w:rFonts w:ascii="仿宋_GB2312" w:eastAsia="仿宋_GB2312"/>
          <w:b/>
          <w:bCs/>
          <w:sz w:val="28"/>
          <w:szCs w:val="28"/>
        </w:rPr>
      </w:pPr>
      <w:r>
        <w:rPr>
          <w:rFonts w:hint="eastAsia" w:ascii="仿宋_GB2312" w:eastAsia="仿宋_GB2312"/>
          <w:sz w:val="28"/>
          <w:szCs w:val="28"/>
        </w:rPr>
        <w:t>7.教育经费：是指中央和地方财政部门的财政预算中实际用于教育的费用。教育经费包括教育事业费（即各级各类的学校的人员经费和公用经费）和教育基本建设投资（建筑校舍和购置大型教学设备的费用）等。教育经费主要是指国家用于发展各级教育事业的费用，具体包括高等教育、中等专业学校、职业教育、中学教育、小学教育、幼儿教育、成人高等业余教育、民办教师补助、教师进修、干部培训、“五七”大学补助、普通业余教育、特殊教育、广播电视教育经费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br w:type="page"/>
      </w:r>
    </w:p>
    <w:p>
      <w:pPr>
        <w:ind w:firstLine="800" w:firstLineChars="200"/>
        <w:jc w:val="center"/>
        <w:rPr>
          <w:rFonts w:ascii="宋体" w:hAnsi="宋体" w:cs="宋体"/>
          <w:b/>
          <w:spacing w:val="40"/>
          <w:kern w:val="0"/>
          <w:sz w:val="32"/>
          <w:szCs w:val="32"/>
        </w:rPr>
      </w:pPr>
      <w:r>
        <w:rPr>
          <w:rFonts w:hint="eastAsia" w:ascii="宋体" w:hAnsi="宋体" w:cs="宋体"/>
          <w:b/>
          <w:spacing w:val="40"/>
          <w:kern w:val="0"/>
          <w:sz w:val="32"/>
          <w:szCs w:val="32"/>
        </w:rPr>
        <w:t>第四部分  2024年度部门绩效评价情况</w:t>
      </w:r>
    </w:p>
    <w:p>
      <w:pPr>
        <w:ind w:firstLine="560" w:firstLineChars="200"/>
        <w:rPr>
          <w:rFonts w:ascii="黑体" w:eastAsia="黑体"/>
          <w:sz w:val="28"/>
          <w:szCs w:val="28"/>
        </w:rPr>
      </w:pPr>
    </w:p>
    <w:p>
      <w:pPr>
        <w:ind w:firstLine="560" w:firstLineChars="200"/>
        <w:rPr>
          <w:rFonts w:ascii="黑体" w:eastAsia="黑体"/>
          <w:sz w:val="28"/>
          <w:szCs w:val="28"/>
        </w:rPr>
      </w:pPr>
      <w:r>
        <w:rPr>
          <w:rFonts w:hint="eastAsia" w:ascii="黑体" w:eastAsia="黑体"/>
          <w:sz w:val="28"/>
          <w:szCs w:val="28"/>
        </w:rPr>
        <w:t>一、部门整体绩效评价报告（详见附件）</w:t>
      </w:r>
    </w:p>
    <w:p>
      <w:pPr>
        <w:ind w:firstLine="560" w:firstLineChars="200"/>
        <w:rPr>
          <w:rFonts w:ascii="黑体" w:eastAsia="黑体"/>
          <w:sz w:val="28"/>
          <w:szCs w:val="28"/>
        </w:rPr>
      </w:pPr>
      <w:r>
        <w:rPr>
          <w:rFonts w:hint="eastAsia" w:ascii="黑体" w:eastAsia="黑体"/>
          <w:sz w:val="28"/>
          <w:szCs w:val="28"/>
        </w:rPr>
        <w:t>二、项目支出绩效评价报告（详见附件）</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ind w:firstLine="560" w:firstLineChars="200"/>
        <w:rPr>
          <w:rFonts w:ascii="黑体" w:eastAsia="黑体"/>
          <w:sz w:val="28"/>
          <w:szCs w:val="28"/>
        </w:rPr>
      </w:pPr>
      <w:r>
        <w:rPr>
          <w:rFonts w:hint="eastAsia" w:ascii="黑体" w:eastAsia="黑体"/>
          <w:sz w:val="28"/>
          <w:szCs w:val="28"/>
        </w:rPr>
        <w:t>四、中央对地方转移支付预算执行情况绩效自评表（</w:t>
      </w:r>
      <w:r>
        <w:rPr>
          <w:rFonts w:hint="eastAsia" w:ascii="黑体" w:eastAsia="黑体" w:cs="Times New Roman"/>
          <w:color w:val="auto"/>
          <w:sz w:val="28"/>
          <w:szCs w:val="28"/>
          <w:highlight w:val="none"/>
          <w:lang w:val="en-US" w:eastAsia="zh-CN"/>
        </w:rPr>
        <w:t>我单位无此项支出</w:t>
      </w:r>
      <w:r>
        <w:rPr>
          <w:rFonts w:hint="eastAsia" w:ascii="黑体" w:eastAsia="黑体"/>
          <w:sz w:val="28"/>
          <w:szCs w:val="28"/>
        </w:rPr>
        <w:t>）</w:t>
      </w:r>
    </w:p>
    <w:p>
      <w:pPr>
        <w:pStyle w:val="2"/>
        <w:ind w:firstLine="420"/>
      </w:pPr>
      <w:bookmarkStart w:id="1" w:name="_GoBack"/>
      <w:bookmarkEnd w:id="1"/>
    </w:p>
    <w:p/>
    <w:sectPr>
      <w:footerReference r:id="rId4" w:type="default"/>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27</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iYzZjYmY2N2VjNDE1YzNkN2Q5NjJjY2IzNzY2NGUifQ=="/>
  </w:docVars>
  <w:rsids>
    <w:rsidRoot w:val="00100246"/>
    <w:rsid w:val="00003B03"/>
    <w:rsid w:val="000040E6"/>
    <w:rsid w:val="00004895"/>
    <w:rsid w:val="000108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2D92"/>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3221"/>
    <w:rsid w:val="0010682D"/>
    <w:rsid w:val="001073C6"/>
    <w:rsid w:val="00107DB5"/>
    <w:rsid w:val="00113613"/>
    <w:rsid w:val="0011483D"/>
    <w:rsid w:val="00115724"/>
    <w:rsid w:val="0012088A"/>
    <w:rsid w:val="00130995"/>
    <w:rsid w:val="00131FF9"/>
    <w:rsid w:val="00132320"/>
    <w:rsid w:val="00135B6A"/>
    <w:rsid w:val="001369A7"/>
    <w:rsid w:val="001428C5"/>
    <w:rsid w:val="001503D8"/>
    <w:rsid w:val="00157540"/>
    <w:rsid w:val="0017111F"/>
    <w:rsid w:val="00173CF6"/>
    <w:rsid w:val="001761B8"/>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7A"/>
    <w:rsid w:val="001E29A9"/>
    <w:rsid w:val="001E3B48"/>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3982"/>
    <w:rsid w:val="0026479D"/>
    <w:rsid w:val="002673C4"/>
    <w:rsid w:val="0027112B"/>
    <w:rsid w:val="00271C3F"/>
    <w:rsid w:val="00272460"/>
    <w:rsid w:val="00273070"/>
    <w:rsid w:val="0027394A"/>
    <w:rsid w:val="00274D50"/>
    <w:rsid w:val="002760D5"/>
    <w:rsid w:val="00276289"/>
    <w:rsid w:val="0028081D"/>
    <w:rsid w:val="0028458C"/>
    <w:rsid w:val="00284D0C"/>
    <w:rsid w:val="00290959"/>
    <w:rsid w:val="002911BD"/>
    <w:rsid w:val="00291C98"/>
    <w:rsid w:val="00294DE9"/>
    <w:rsid w:val="002A1488"/>
    <w:rsid w:val="002A4C2B"/>
    <w:rsid w:val="002A59F3"/>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76828"/>
    <w:rsid w:val="00382A86"/>
    <w:rsid w:val="00383BCC"/>
    <w:rsid w:val="00385243"/>
    <w:rsid w:val="003925D4"/>
    <w:rsid w:val="0039318C"/>
    <w:rsid w:val="00393366"/>
    <w:rsid w:val="003937DC"/>
    <w:rsid w:val="00393D75"/>
    <w:rsid w:val="003A0D7B"/>
    <w:rsid w:val="003A2F2D"/>
    <w:rsid w:val="003A43AC"/>
    <w:rsid w:val="003A4EB6"/>
    <w:rsid w:val="003A7AE9"/>
    <w:rsid w:val="003A7BC5"/>
    <w:rsid w:val="003A7FF5"/>
    <w:rsid w:val="003B0352"/>
    <w:rsid w:val="003B4437"/>
    <w:rsid w:val="003B48C4"/>
    <w:rsid w:val="003B5E20"/>
    <w:rsid w:val="003B6DAD"/>
    <w:rsid w:val="003B735F"/>
    <w:rsid w:val="003C030C"/>
    <w:rsid w:val="003C4224"/>
    <w:rsid w:val="003C55FC"/>
    <w:rsid w:val="003D0EC3"/>
    <w:rsid w:val="003D10E5"/>
    <w:rsid w:val="003D7274"/>
    <w:rsid w:val="003E4D82"/>
    <w:rsid w:val="003E5BC1"/>
    <w:rsid w:val="003F0D1B"/>
    <w:rsid w:val="003F1DD6"/>
    <w:rsid w:val="00401087"/>
    <w:rsid w:val="00402E26"/>
    <w:rsid w:val="004047C2"/>
    <w:rsid w:val="00405701"/>
    <w:rsid w:val="004110BC"/>
    <w:rsid w:val="0041271F"/>
    <w:rsid w:val="0041688E"/>
    <w:rsid w:val="004170EF"/>
    <w:rsid w:val="0042093C"/>
    <w:rsid w:val="00422B33"/>
    <w:rsid w:val="004233DD"/>
    <w:rsid w:val="00424405"/>
    <w:rsid w:val="00425B25"/>
    <w:rsid w:val="00425D24"/>
    <w:rsid w:val="00426A4D"/>
    <w:rsid w:val="00427687"/>
    <w:rsid w:val="00433231"/>
    <w:rsid w:val="004334CA"/>
    <w:rsid w:val="0043506A"/>
    <w:rsid w:val="00435830"/>
    <w:rsid w:val="0043619C"/>
    <w:rsid w:val="00441D89"/>
    <w:rsid w:val="00443C87"/>
    <w:rsid w:val="0044475D"/>
    <w:rsid w:val="00444D1E"/>
    <w:rsid w:val="0044571A"/>
    <w:rsid w:val="00446765"/>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7455"/>
    <w:rsid w:val="004C020A"/>
    <w:rsid w:val="004C03A3"/>
    <w:rsid w:val="004C2971"/>
    <w:rsid w:val="004C44B8"/>
    <w:rsid w:val="004C7629"/>
    <w:rsid w:val="004C789C"/>
    <w:rsid w:val="004D0D5D"/>
    <w:rsid w:val="004E27DD"/>
    <w:rsid w:val="004E3350"/>
    <w:rsid w:val="004E3553"/>
    <w:rsid w:val="004E5292"/>
    <w:rsid w:val="004F2C5B"/>
    <w:rsid w:val="004F641B"/>
    <w:rsid w:val="004F71F3"/>
    <w:rsid w:val="005052FA"/>
    <w:rsid w:val="005069E1"/>
    <w:rsid w:val="00507E59"/>
    <w:rsid w:val="005122B5"/>
    <w:rsid w:val="0052381C"/>
    <w:rsid w:val="00532274"/>
    <w:rsid w:val="005346B3"/>
    <w:rsid w:val="0054051C"/>
    <w:rsid w:val="00546A84"/>
    <w:rsid w:val="00547BE2"/>
    <w:rsid w:val="0055353D"/>
    <w:rsid w:val="0056187C"/>
    <w:rsid w:val="005736A5"/>
    <w:rsid w:val="00576B03"/>
    <w:rsid w:val="00581235"/>
    <w:rsid w:val="00581E1A"/>
    <w:rsid w:val="00591655"/>
    <w:rsid w:val="00591BEC"/>
    <w:rsid w:val="005940EA"/>
    <w:rsid w:val="00594448"/>
    <w:rsid w:val="005A1D6F"/>
    <w:rsid w:val="005A4D82"/>
    <w:rsid w:val="005A52A6"/>
    <w:rsid w:val="005A7452"/>
    <w:rsid w:val="005B0DEC"/>
    <w:rsid w:val="005B368E"/>
    <w:rsid w:val="005B6E69"/>
    <w:rsid w:val="005C0015"/>
    <w:rsid w:val="005C1E82"/>
    <w:rsid w:val="005C2BCE"/>
    <w:rsid w:val="005C2CA5"/>
    <w:rsid w:val="005C322E"/>
    <w:rsid w:val="005C7062"/>
    <w:rsid w:val="005C7788"/>
    <w:rsid w:val="005D10B9"/>
    <w:rsid w:val="005D18DA"/>
    <w:rsid w:val="005D2222"/>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505"/>
    <w:rsid w:val="00681970"/>
    <w:rsid w:val="00690641"/>
    <w:rsid w:val="00690D88"/>
    <w:rsid w:val="00691844"/>
    <w:rsid w:val="00693DDF"/>
    <w:rsid w:val="00696F9E"/>
    <w:rsid w:val="00697528"/>
    <w:rsid w:val="006A374A"/>
    <w:rsid w:val="006A505E"/>
    <w:rsid w:val="006A513E"/>
    <w:rsid w:val="006A5265"/>
    <w:rsid w:val="006B0CB9"/>
    <w:rsid w:val="006B2609"/>
    <w:rsid w:val="006B2750"/>
    <w:rsid w:val="006B3678"/>
    <w:rsid w:val="006B7390"/>
    <w:rsid w:val="006B75F2"/>
    <w:rsid w:val="006C0084"/>
    <w:rsid w:val="006C107D"/>
    <w:rsid w:val="006C3600"/>
    <w:rsid w:val="006C4534"/>
    <w:rsid w:val="006C5205"/>
    <w:rsid w:val="006C75F6"/>
    <w:rsid w:val="006C77B7"/>
    <w:rsid w:val="006D3F53"/>
    <w:rsid w:val="006D60AF"/>
    <w:rsid w:val="006E4722"/>
    <w:rsid w:val="006F1789"/>
    <w:rsid w:val="00701651"/>
    <w:rsid w:val="007049BF"/>
    <w:rsid w:val="00704E79"/>
    <w:rsid w:val="00707A26"/>
    <w:rsid w:val="0071120F"/>
    <w:rsid w:val="00716380"/>
    <w:rsid w:val="00722165"/>
    <w:rsid w:val="00724B1C"/>
    <w:rsid w:val="00736CC8"/>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2737A"/>
    <w:rsid w:val="008337CB"/>
    <w:rsid w:val="00834A3C"/>
    <w:rsid w:val="008360A0"/>
    <w:rsid w:val="00837658"/>
    <w:rsid w:val="00837CD4"/>
    <w:rsid w:val="00837F78"/>
    <w:rsid w:val="008400EE"/>
    <w:rsid w:val="00840791"/>
    <w:rsid w:val="00845576"/>
    <w:rsid w:val="00850708"/>
    <w:rsid w:val="00851024"/>
    <w:rsid w:val="008526D7"/>
    <w:rsid w:val="00855434"/>
    <w:rsid w:val="0086238C"/>
    <w:rsid w:val="00862C3D"/>
    <w:rsid w:val="008655DC"/>
    <w:rsid w:val="0086732D"/>
    <w:rsid w:val="00870183"/>
    <w:rsid w:val="00875726"/>
    <w:rsid w:val="00877F10"/>
    <w:rsid w:val="0088225D"/>
    <w:rsid w:val="00882F8D"/>
    <w:rsid w:val="00884FB0"/>
    <w:rsid w:val="008853A5"/>
    <w:rsid w:val="008944DA"/>
    <w:rsid w:val="00894D78"/>
    <w:rsid w:val="008A2A7F"/>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E7904"/>
    <w:rsid w:val="008F1528"/>
    <w:rsid w:val="008F1AE5"/>
    <w:rsid w:val="008F55D9"/>
    <w:rsid w:val="009057DE"/>
    <w:rsid w:val="00905F97"/>
    <w:rsid w:val="00906FA3"/>
    <w:rsid w:val="0091239D"/>
    <w:rsid w:val="00912825"/>
    <w:rsid w:val="009129B8"/>
    <w:rsid w:val="00912B99"/>
    <w:rsid w:val="00912C78"/>
    <w:rsid w:val="009256BD"/>
    <w:rsid w:val="00927892"/>
    <w:rsid w:val="009319B9"/>
    <w:rsid w:val="009351E9"/>
    <w:rsid w:val="00937862"/>
    <w:rsid w:val="00942279"/>
    <w:rsid w:val="009524EB"/>
    <w:rsid w:val="00962013"/>
    <w:rsid w:val="00963942"/>
    <w:rsid w:val="0096716C"/>
    <w:rsid w:val="009672B2"/>
    <w:rsid w:val="00971C66"/>
    <w:rsid w:val="00972363"/>
    <w:rsid w:val="00980328"/>
    <w:rsid w:val="0098419C"/>
    <w:rsid w:val="009843EF"/>
    <w:rsid w:val="009867F2"/>
    <w:rsid w:val="00991347"/>
    <w:rsid w:val="00996018"/>
    <w:rsid w:val="0099738E"/>
    <w:rsid w:val="009A493E"/>
    <w:rsid w:val="009A531F"/>
    <w:rsid w:val="009A6931"/>
    <w:rsid w:val="009A6A51"/>
    <w:rsid w:val="009B1F9A"/>
    <w:rsid w:val="009B1FA9"/>
    <w:rsid w:val="009B349F"/>
    <w:rsid w:val="009B4293"/>
    <w:rsid w:val="009B6715"/>
    <w:rsid w:val="009C7B74"/>
    <w:rsid w:val="009D0BE2"/>
    <w:rsid w:val="009D114E"/>
    <w:rsid w:val="009D210F"/>
    <w:rsid w:val="009D233A"/>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14CA"/>
    <w:rsid w:val="00A25898"/>
    <w:rsid w:val="00A3071D"/>
    <w:rsid w:val="00A3182E"/>
    <w:rsid w:val="00A31A89"/>
    <w:rsid w:val="00A32F06"/>
    <w:rsid w:val="00A34869"/>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24C"/>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46EAE"/>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5204"/>
    <w:rsid w:val="00C0623C"/>
    <w:rsid w:val="00C06A07"/>
    <w:rsid w:val="00C132B6"/>
    <w:rsid w:val="00C21A6C"/>
    <w:rsid w:val="00C24A10"/>
    <w:rsid w:val="00C27003"/>
    <w:rsid w:val="00C27597"/>
    <w:rsid w:val="00C32BD4"/>
    <w:rsid w:val="00C33E48"/>
    <w:rsid w:val="00C358E5"/>
    <w:rsid w:val="00C3618B"/>
    <w:rsid w:val="00C403FB"/>
    <w:rsid w:val="00C4316E"/>
    <w:rsid w:val="00C441A2"/>
    <w:rsid w:val="00C5076B"/>
    <w:rsid w:val="00C512D4"/>
    <w:rsid w:val="00C51CF4"/>
    <w:rsid w:val="00C531E2"/>
    <w:rsid w:val="00C53204"/>
    <w:rsid w:val="00C57E34"/>
    <w:rsid w:val="00C64659"/>
    <w:rsid w:val="00C64AA5"/>
    <w:rsid w:val="00C662E9"/>
    <w:rsid w:val="00C66C2D"/>
    <w:rsid w:val="00C7190B"/>
    <w:rsid w:val="00C761BC"/>
    <w:rsid w:val="00C76852"/>
    <w:rsid w:val="00C77210"/>
    <w:rsid w:val="00C777FA"/>
    <w:rsid w:val="00C77989"/>
    <w:rsid w:val="00C811F4"/>
    <w:rsid w:val="00C81E51"/>
    <w:rsid w:val="00C82D53"/>
    <w:rsid w:val="00C87B73"/>
    <w:rsid w:val="00C92444"/>
    <w:rsid w:val="00C92FBB"/>
    <w:rsid w:val="00C93327"/>
    <w:rsid w:val="00C97B4D"/>
    <w:rsid w:val="00CA5602"/>
    <w:rsid w:val="00CA5CA9"/>
    <w:rsid w:val="00CA78E2"/>
    <w:rsid w:val="00CB1BBE"/>
    <w:rsid w:val="00CB65DB"/>
    <w:rsid w:val="00CB6BD9"/>
    <w:rsid w:val="00CC293A"/>
    <w:rsid w:val="00CC4064"/>
    <w:rsid w:val="00CD72A1"/>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2E78"/>
    <w:rsid w:val="00D742E2"/>
    <w:rsid w:val="00D7580E"/>
    <w:rsid w:val="00D84AF7"/>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49DA"/>
    <w:rsid w:val="00E04B44"/>
    <w:rsid w:val="00E0796F"/>
    <w:rsid w:val="00E10948"/>
    <w:rsid w:val="00E24371"/>
    <w:rsid w:val="00E243AB"/>
    <w:rsid w:val="00E26641"/>
    <w:rsid w:val="00E2778F"/>
    <w:rsid w:val="00E278B0"/>
    <w:rsid w:val="00E33023"/>
    <w:rsid w:val="00E331F3"/>
    <w:rsid w:val="00E3498D"/>
    <w:rsid w:val="00E3592D"/>
    <w:rsid w:val="00E42425"/>
    <w:rsid w:val="00E43E55"/>
    <w:rsid w:val="00E43E8E"/>
    <w:rsid w:val="00E4554E"/>
    <w:rsid w:val="00E46D22"/>
    <w:rsid w:val="00E4768F"/>
    <w:rsid w:val="00E53C0E"/>
    <w:rsid w:val="00E54F7E"/>
    <w:rsid w:val="00E560CE"/>
    <w:rsid w:val="00E5674E"/>
    <w:rsid w:val="00E578D9"/>
    <w:rsid w:val="00E63783"/>
    <w:rsid w:val="00E650E2"/>
    <w:rsid w:val="00E75CAD"/>
    <w:rsid w:val="00E76922"/>
    <w:rsid w:val="00E8595B"/>
    <w:rsid w:val="00E915EC"/>
    <w:rsid w:val="00E97400"/>
    <w:rsid w:val="00EA11B1"/>
    <w:rsid w:val="00EA2224"/>
    <w:rsid w:val="00EA7194"/>
    <w:rsid w:val="00EB1329"/>
    <w:rsid w:val="00EB2987"/>
    <w:rsid w:val="00EB2D75"/>
    <w:rsid w:val="00EB34BE"/>
    <w:rsid w:val="00EB571A"/>
    <w:rsid w:val="00EC2804"/>
    <w:rsid w:val="00EC6117"/>
    <w:rsid w:val="00EC6138"/>
    <w:rsid w:val="00ED1DCF"/>
    <w:rsid w:val="00ED43C9"/>
    <w:rsid w:val="00ED5F03"/>
    <w:rsid w:val="00EE2C60"/>
    <w:rsid w:val="00EE2E58"/>
    <w:rsid w:val="00EE487A"/>
    <w:rsid w:val="00EE70E2"/>
    <w:rsid w:val="00EE734C"/>
    <w:rsid w:val="00EF6907"/>
    <w:rsid w:val="00EF6D91"/>
    <w:rsid w:val="00F01F54"/>
    <w:rsid w:val="00F026CB"/>
    <w:rsid w:val="00F04D4D"/>
    <w:rsid w:val="00F11DD8"/>
    <w:rsid w:val="00F12745"/>
    <w:rsid w:val="00F13766"/>
    <w:rsid w:val="00F15C77"/>
    <w:rsid w:val="00F176B2"/>
    <w:rsid w:val="00F20A77"/>
    <w:rsid w:val="00F22C60"/>
    <w:rsid w:val="00F231A4"/>
    <w:rsid w:val="00F23252"/>
    <w:rsid w:val="00F27B2A"/>
    <w:rsid w:val="00F31762"/>
    <w:rsid w:val="00F319E2"/>
    <w:rsid w:val="00F345D3"/>
    <w:rsid w:val="00F356ED"/>
    <w:rsid w:val="00F359B5"/>
    <w:rsid w:val="00F36BDD"/>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5FC"/>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6A37"/>
    <w:rsid w:val="00FD7508"/>
    <w:rsid w:val="00FE1E51"/>
    <w:rsid w:val="00FE2496"/>
    <w:rsid w:val="00FE6A2B"/>
    <w:rsid w:val="00FF0275"/>
    <w:rsid w:val="00FF07B3"/>
    <w:rsid w:val="00FF1E37"/>
    <w:rsid w:val="02F120AB"/>
    <w:rsid w:val="04C3537C"/>
    <w:rsid w:val="04F0604E"/>
    <w:rsid w:val="079004AC"/>
    <w:rsid w:val="09013920"/>
    <w:rsid w:val="09830414"/>
    <w:rsid w:val="0AE837DA"/>
    <w:rsid w:val="0B0D0115"/>
    <w:rsid w:val="0BA148CA"/>
    <w:rsid w:val="0C1165C4"/>
    <w:rsid w:val="0CC22A34"/>
    <w:rsid w:val="0DCE00B9"/>
    <w:rsid w:val="0DD136FE"/>
    <w:rsid w:val="0F8E2C57"/>
    <w:rsid w:val="1059665E"/>
    <w:rsid w:val="10AC13BA"/>
    <w:rsid w:val="11A87287"/>
    <w:rsid w:val="145A6C1B"/>
    <w:rsid w:val="147F55CD"/>
    <w:rsid w:val="14EA0F67"/>
    <w:rsid w:val="16124E76"/>
    <w:rsid w:val="167A2FF9"/>
    <w:rsid w:val="16A0048D"/>
    <w:rsid w:val="175F3AB5"/>
    <w:rsid w:val="17973221"/>
    <w:rsid w:val="185F74D8"/>
    <w:rsid w:val="19754BA4"/>
    <w:rsid w:val="1AEC0734"/>
    <w:rsid w:val="1B96543A"/>
    <w:rsid w:val="1D9C553B"/>
    <w:rsid w:val="1DEF20B0"/>
    <w:rsid w:val="1EC70A8F"/>
    <w:rsid w:val="214243FA"/>
    <w:rsid w:val="21AD613C"/>
    <w:rsid w:val="25706625"/>
    <w:rsid w:val="257A14F5"/>
    <w:rsid w:val="260A6721"/>
    <w:rsid w:val="27196C26"/>
    <w:rsid w:val="2737287D"/>
    <w:rsid w:val="29631CEA"/>
    <w:rsid w:val="29EF086F"/>
    <w:rsid w:val="2C681CA5"/>
    <w:rsid w:val="2D85793F"/>
    <w:rsid w:val="2EA97345"/>
    <w:rsid w:val="2EFFE297"/>
    <w:rsid w:val="301437CA"/>
    <w:rsid w:val="30985BF0"/>
    <w:rsid w:val="313B45DA"/>
    <w:rsid w:val="32435245"/>
    <w:rsid w:val="32572A7F"/>
    <w:rsid w:val="349D1F0A"/>
    <w:rsid w:val="34DD0473"/>
    <w:rsid w:val="37746AB8"/>
    <w:rsid w:val="389D49EC"/>
    <w:rsid w:val="38D90D40"/>
    <w:rsid w:val="39552EF8"/>
    <w:rsid w:val="39C96BA3"/>
    <w:rsid w:val="3C684897"/>
    <w:rsid w:val="3E5F67DB"/>
    <w:rsid w:val="3EDC7B33"/>
    <w:rsid w:val="3FD25799"/>
    <w:rsid w:val="408E4304"/>
    <w:rsid w:val="414818D7"/>
    <w:rsid w:val="41DB0AA9"/>
    <w:rsid w:val="42C12B63"/>
    <w:rsid w:val="433E495C"/>
    <w:rsid w:val="44703991"/>
    <w:rsid w:val="458319E2"/>
    <w:rsid w:val="47910E48"/>
    <w:rsid w:val="489F2FD7"/>
    <w:rsid w:val="49735A34"/>
    <w:rsid w:val="4AC27CB3"/>
    <w:rsid w:val="4B18273F"/>
    <w:rsid w:val="4B311DC2"/>
    <w:rsid w:val="4BF72BEF"/>
    <w:rsid w:val="4D7B72A5"/>
    <w:rsid w:val="4DB52145"/>
    <w:rsid w:val="4E20590A"/>
    <w:rsid w:val="4F364B76"/>
    <w:rsid w:val="4FA90297"/>
    <w:rsid w:val="4FC41A43"/>
    <w:rsid w:val="51DB3C59"/>
    <w:rsid w:val="550C0952"/>
    <w:rsid w:val="55762E42"/>
    <w:rsid w:val="57041FD3"/>
    <w:rsid w:val="57A7B272"/>
    <w:rsid w:val="58470068"/>
    <w:rsid w:val="58747CAC"/>
    <w:rsid w:val="59D21BAF"/>
    <w:rsid w:val="5A1720F9"/>
    <w:rsid w:val="5B08190E"/>
    <w:rsid w:val="5B244FC2"/>
    <w:rsid w:val="5B9C37C2"/>
    <w:rsid w:val="5BA7C654"/>
    <w:rsid w:val="5CD85C7B"/>
    <w:rsid w:val="5D7C0DC4"/>
    <w:rsid w:val="5EFFA75D"/>
    <w:rsid w:val="5FEF897A"/>
    <w:rsid w:val="60A54109"/>
    <w:rsid w:val="61D01CDF"/>
    <w:rsid w:val="622A0686"/>
    <w:rsid w:val="648818F1"/>
    <w:rsid w:val="64C0607C"/>
    <w:rsid w:val="65756C86"/>
    <w:rsid w:val="674D385B"/>
    <w:rsid w:val="676F09E1"/>
    <w:rsid w:val="678C05B9"/>
    <w:rsid w:val="6A682DD1"/>
    <w:rsid w:val="6A715BC0"/>
    <w:rsid w:val="6A745DDA"/>
    <w:rsid w:val="6DEB3643"/>
    <w:rsid w:val="6E185D14"/>
    <w:rsid w:val="6F6C172F"/>
    <w:rsid w:val="702C3BE9"/>
    <w:rsid w:val="713100CA"/>
    <w:rsid w:val="73A13611"/>
    <w:rsid w:val="754C3A9F"/>
    <w:rsid w:val="75CF685A"/>
    <w:rsid w:val="76CB93E8"/>
    <w:rsid w:val="76EC33B1"/>
    <w:rsid w:val="773F4443"/>
    <w:rsid w:val="795E69E5"/>
    <w:rsid w:val="798524E4"/>
    <w:rsid w:val="79E03459"/>
    <w:rsid w:val="7A7F1C49"/>
    <w:rsid w:val="7B5B7AE6"/>
    <w:rsid w:val="7B7B6628"/>
    <w:rsid w:val="7BA7071E"/>
    <w:rsid w:val="7BDF6DA8"/>
    <w:rsid w:val="7C7EDC1A"/>
    <w:rsid w:val="7CCED98D"/>
    <w:rsid w:val="7CDEF8CE"/>
    <w:rsid w:val="7CF003DB"/>
    <w:rsid w:val="7D08410F"/>
    <w:rsid w:val="7DB91BC5"/>
    <w:rsid w:val="7DB96DED"/>
    <w:rsid w:val="7DD3AD81"/>
    <w:rsid w:val="7DD50326"/>
    <w:rsid w:val="7E0A5CB9"/>
    <w:rsid w:val="7F3E1986"/>
    <w:rsid w:val="7F7FE70F"/>
    <w:rsid w:val="7F8A39B9"/>
    <w:rsid w:val="7FFF772F"/>
    <w:rsid w:val="95F35EF6"/>
    <w:rsid w:val="9BFFD860"/>
    <w:rsid w:val="AC5F73DE"/>
    <w:rsid w:val="AF1613D4"/>
    <w:rsid w:val="B5DDD2C8"/>
    <w:rsid w:val="B9DFABD9"/>
    <w:rsid w:val="BC0D83FC"/>
    <w:rsid w:val="BF3BDEFB"/>
    <w:rsid w:val="C75F6086"/>
    <w:rsid w:val="C7F7ED2D"/>
    <w:rsid w:val="CFAF854E"/>
    <w:rsid w:val="D8D7928E"/>
    <w:rsid w:val="D8FE3136"/>
    <w:rsid w:val="DDB73750"/>
    <w:rsid w:val="DDDE60B7"/>
    <w:rsid w:val="DE9F6A22"/>
    <w:rsid w:val="DF4FCE6A"/>
    <w:rsid w:val="E4FED278"/>
    <w:rsid w:val="EDAA365C"/>
    <w:rsid w:val="EDADFC12"/>
    <w:rsid w:val="F1FE35FD"/>
    <w:rsid w:val="F2FD229B"/>
    <w:rsid w:val="F7A7D327"/>
    <w:rsid w:val="F7F709E9"/>
    <w:rsid w:val="F7FF3690"/>
    <w:rsid w:val="F9BD3900"/>
    <w:rsid w:val="FBFF6F1D"/>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table" w:styleId="15">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页脚 Char"/>
    <w:link w:val="8"/>
    <w:qFormat/>
    <w:uiPriority w:val="0"/>
    <w:rPr>
      <w:rFonts w:eastAsia="宋体"/>
      <w:kern w:val="2"/>
      <w:sz w:val="18"/>
      <w:szCs w:val="18"/>
      <w:lang w:val="en-US" w:eastAsia="zh-CN" w:bidi="ar-SA"/>
    </w:rPr>
  </w:style>
  <w:style w:type="character" w:customStyle="1" w:styleId="17">
    <w:name w:val="页眉 Char"/>
    <w:link w:val="9"/>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character" w:customStyle="1" w:styleId="22">
    <w:name w:val="font31"/>
    <w:basedOn w:val="11"/>
    <w:qFormat/>
    <w:uiPriority w:val="0"/>
    <w:rPr>
      <w:rFonts w:hint="eastAsia" w:ascii="宋体" w:hAnsi="宋体" w:eastAsia="宋体" w:cs="宋体"/>
      <w:color w:val="000000"/>
      <w:sz w:val="20"/>
      <w:szCs w:val="20"/>
      <w:u w:val="none"/>
    </w:rPr>
  </w:style>
  <w:style w:type="character" w:customStyle="1" w:styleId="23">
    <w:name w:val="font51"/>
    <w:basedOn w:val="11"/>
    <w:qFormat/>
    <w:uiPriority w:val="0"/>
    <w:rPr>
      <w:rFonts w:hint="eastAsia" w:ascii="宋体" w:hAnsi="宋体" w:eastAsia="宋体" w:cs="宋体"/>
      <w:color w:val="000000"/>
      <w:sz w:val="20"/>
      <w:szCs w:val="20"/>
      <w:u w:val="none"/>
    </w:rPr>
  </w:style>
  <w:style w:type="character" w:customStyle="1" w:styleId="24">
    <w:name w:val="font21"/>
    <w:basedOn w:val="11"/>
    <w:qFormat/>
    <w:uiPriority w:val="0"/>
    <w:rPr>
      <w:rFonts w:hint="eastAsia" w:ascii="宋体" w:hAnsi="宋体" w:eastAsia="宋体" w:cs="宋体"/>
      <w:color w:val="000000"/>
      <w:sz w:val="18"/>
      <w:szCs w:val="18"/>
      <w:u w:val="none"/>
    </w:rPr>
  </w:style>
  <w:style w:type="character" w:customStyle="1" w:styleId="25">
    <w:name w:val="font01"/>
    <w:basedOn w:val="11"/>
    <w:qFormat/>
    <w:uiPriority w:val="0"/>
    <w:rPr>
      <w:rFonts w:hint="eastAsia" w:ascii="宋体" w:hAnsi="宋体" w:eastAsia="宋体" w:cs="宋体"/>
      <w:color w:val="000000"/>
      <w:sz w:val="20"/>
      <w:szCs w:val="20"/>
      <w:u w:val="none"/>
    </w:rPr>
  </w:style>
  <w:style w:type="character" w:customStyle="1" w:styleId="26">
    <w:name w:val="font8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8399.88</c:v>
                </c:pt>
                <c:pt idx="1">
                  <c:v>0</c:v>
                </c:pt>
                <c:pt idx="2">
                  <c:v>1685.1</c:v>
                </c:pt>
                <c:pt idx="3">
                  <c:v>0</c:v>
                </c:pt>
                <c:pt idx="4">
                  <c:v>0</c:v>
                </c:pt>
                <c:pt idx="5">
                  <c:v>24.99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7599.46</c:v>
                </c:pt>
                <c:pt idx="1">
                  <c:v>2429.35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27</Pages>
  <Words>2045</Words>
  <Characters>11657</Characters>
  <Lines>97</Lines>
  <Paragraphs>27</Paragraphs>
  <TotalTime>1</TotalTime>
  <ScaleCrop>false</ScaleCrop>
  <LinksUpToDate>false</LinksUpToDate>
  <CharactersWithSpaces>13675</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Administrator</cp:lastModifiedBy>
  <cp:lastPrinted>2025-06-10T22:57:00Z</cp:lastPrinted>
  <dcterms:modified xsi:type="dcterms:W3CDTF">2025-08-26T08:15:47Z</dcterms:modified>
  <dc:title>北京市财政局关于做好向市人大常委会报送2015年度市级部门决算（草案）</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04522A6FFF0A4D08ABDE9F4DD8AEC453_13</vt:lpwstr>
  </property>
  <property fmtid="{D5CDD505-2E9C-101B-9397-08002B2CF9AE}" pid="4" name="KSOTemplateDocerSaveRecord">
    <vt:lpwstr>eyJoZGlkIjoiMzc4NWY1MzkzMjk1MGZhYTYzN2RlYzY2ZjI5NzA1ZTciLCJ1c2VySWQiOiIxMDExMTUzMTMyIn0=</vt:lpwstr>
  </property>
</Properties>
</file>